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4F705141" w:rsidR="00141B33" w:rsidRDefault="009C4957" w:rsidP="769CB75A">
      <w:pPr>
        <w:pStyle w:val="Overskrift1"/>
      </w:pPr>
      <w:r>
        <w:t>Årlig redegjørelse Miljøfyrtårn</w:t>
      </w:r>
    </w:p>
    <w:p w14:paraId="34359831" w14:textId="3B859FC7" w:rsidR="769CB75A" w:rsidRDefault="769CB75A" w:rsidP="769CB75A"/>
    <w:p w14:paraId="6D2BF88A" w14:textId="62A21440" w:rsidR="04F8CD5A" w:rsidRDefault="04F8CD5A" w:rsidP="769CB75A">
      <w:pPr>
        <w:pStyle w:val="Overskrift2"/>
      </w:pPr>
      <w:r>
        <w:t>Bakgrunn</w:t>
      </w:r>
    </w:p>
    <w:p w14:paraId="6E961930" w14:textId="5F0EC64C" w:rsidR="04F8CD5A" w:rsidRDefault="04F8CD5A">
      <w:proofErr w:type="spellStart"/>
      <w:r>
        <w:t>FKH</w:t>
      </w:r>
      <w:proofErr w:type="spellEnd"/>
      <w:r>
        <w:t xml:space="preserve"> AS ble sertifisert som miljøfyrtårn 07.</w:t>
      </w:r>
      <w:r w:rsidR="633F7535">
        <w:t xml:space="preserve">12.2023. Sertifiseringen </w:t>
      </w:r>
      <w:r w:rsidR="1764A600">
        <w:t xml:space="preserve">omfatter en rekke kriterier </w:t>
      </w:r>
      <w:r w:rsidR="719FC795">
        <w:t xml:space="preserve">innenfor ulike områder som avfallshåndtering, </w:t>
      </w:r>
      <w:r w:rsidR="28E1613B">
        <w:t xml:space="preserve">energiforbruk, </w:t>
      </w:r>
      <w:r w:rsidR="719FC795">
        <w:t>klimagassutslipp,</w:t>
      </w:r>
      <w:r w:rsidR="6DE36D70">
        <w:t xml:space="preserve"> arbeidsforhold i virksomheten, virksomhetsstyring</w:t>
      </w:r>
      <w:r w:rsidR="6ED7403E">
        <w:t xml:space="preserve"> m.m</w:t>
      </w:r>
      <w:r w:rsidR="6DE36D70">
        <w:t>. Den årlige innrapporteringe</w:t>
      </w:r>
      <w:r w:rsidR="1CCD250A">
        <w:t>n</w:t>
      </w:r>
      <w:r w:rsidR="6DE36D70">
        <w:t xml:space="preserve"> resulterer blant annet i</w:t>
      </w:r>
      <w:r w:rsidR="558DF7CD">
        <w:t xml:space="preserve"> et klimaregnskap som viser </w:t>
      </w:r>
      <w:r w:rsidR="1F19E7A2">
        <w:t xml:space="preserve">estimert klimaavtrykk </w:t>
      </w:r>
      <w:r w:rsidR="6236F46F">
        <w:t xml:space="preserve">knyttet til </w:t>
      </w:r>
      <w:r w:rsidR="1F19E7A2">
        <w:t xml:space="preserve">driften. </w:t>
      </w:r>
    </w:p>
    <w:p w14:paraId="385FD66D" w14:textId="1FBD9661" w:rsidR="1F19E7A2" w:rsidRDefault="1F19E7A2">
      <w:r>
        <w:t xml:space="preserve">I tillegg får klubben utarbeidet et eget klimaregnskap via NFF/NTF og deres samarbeidspartner </w:t>
      </w:r>
      <w:hyperlink r:id="rId7">
        <w:r w:rsidR="50FC0F96" w:rsidRPr="769CB75A">
          <w:rPr>
            <w:rStyle w:val="Hyperkobling"/>
          </w:rPr>
          <w:t>KAPO.</w:t>
        </w:r>
      </w:hyperlink>
      <w:r w:rsidR="50FC0F96">
        <w:t xml:space="preserve"> </w:t>
      </w:r>
      <w:proofErr w:type="spellStart"/>
      <w:r w:rsidR="50FC0F96">
        <w:t>FKH</w:t>
      </w:r>
      <w:proofErr w:type="spellEnd"/>
      <w:r w:rsidR="50FC0F96">
        <w:t xml:space="preserve"> har inngått et eget samarbeid med KAPO knyttet til vårt </w:t>
      </w:r>
      <w:proofErr w:type="spellStart"/>
      <w:r w:rsidR="50FC0F96">
        <w:t>bærekraftsarbeid</w:t>
      </w:r>
      <w:proofErr w:type="spellEnd"/>
      <w:r w:rsidR="50FC0F96">
        <w:t xml:space="preserve">. Klubbens selger klimakreditter til våre partnere </w:t>
      </w:r>
      <w:r w:rsidR="79D04FE4">
        <w:t xml:space="preserve">som del av partneravtaler. </w:t>
      </w:r>
      <w:r w:rsidR="369386F9">
        <w:t xml:space="preserve">Samtidig så kjøper </w:t>
      </w:r>
      <w:proofErr w:type="spellStart"/>
      <w:r w:rsidR="369386F9">
        <w:t>FKH</w:t>
      </w:r>
      <w:proofErr w:type="spellEnd"/>
      <w:r w:rsidR="369386F9">
        <w:t xml:space="preserve"> klimakreditter tilsvarende eget klimaavtrykk</w:t>
      </w:r>
      <w:r w:rsidR="3D2EBCAC">
        <w:t xml:space="preserve"> i </w:t>
      </w:r>
      <w:proofErr w:type="spellStart"/>
      <w:r w:rsidR="3D2EBCAC">
        <w:t>scope</w:t>
      </w:r>
      <w:proofErr w:type="spellEnd"/>
      <w:r w:rsidR="3D2EBCAC">
        <w:t xml:space="preserve"> 1 og 2</w:t>
      </w:r>
      <w:r w:rsidR="369386F9">
        <w:t xml:space="preserve">, slik at klubbens drift er klimakompensert. </w:t>
      </w:r>
    </w:p>
    <w:p w14:paraId="17F1FE7D" w14:textId="0A25BF6F" w:rsidR="6B92949E" w:rsidRDefault="6B92949E" w:rsidP="769CB75A">
      <w:pPr>
        <w:pStyle w:val="Overskrift2"/>
      </w:pPr>
      <w:r>
        <w:t xml:space="preserve">Status </w:t>
      </w:r>
    </w:p>
    <w:p w14:paraId="7280E404" w14:textId="628391B5" w:rsidR="6B92949E" w:rsidRDefault="6B92949E">
      <w:r>
        <w:t>Innrapportering av data for 2024 er nå fullført. Denne innebærer at det nå foreligger tall fra tre sammenhengende år. Resultatene ligger v</w:t>
      </w:r>
      <w:r w:rsidR="54568EC6">
        <w:t>edlagt og finnes</w:t>
      </w:r>
      <w:r w:rsidR="7BE4E37C">
        <w:t xml:space="preserve"> digitalt</w:t>
      </w:r>
      <w:r w:rsidR="54568EC6">
        <w:t xml:space="preserve"> </w:t>
      </w:r>
      <w:hyperlink r:id="rId8">
        <w:r w:rsidR="23EE0014" w:rsidRPr="769CB75A">
          <w:rPr>
            <w:rStyle w:val="Hyperkobling"/>
          </w:rPr>
          <w:t>her.</w:t>
        </w:r>
      </w:hyperlink>
    </w:p>
    <w:p w14:paraId="3FFC99F6" w14:textId="1EC5BC50" w:rsidR="45494C76" w:rsidRDefault="45494C76">
      <w:r>
        <w:t>Kortfattet oppsummering:</w:t>
      </w:r>
    </w:p>
    <w:p w14:paraId="5C816643" w14:textId="7F875D95" w:rsidR="45494C76" w:rsidRDefault="45494C76" w:rsidP="769CB75A">
      <w:pPr>
        <w:pStyle w:val="Listeavsnitt"/>
        <w:numPr>
          <w:ilvl w:val="0"/>
          <w:numId w:val="2"/>
        </w:numPr>
      </w:pPr>
      <w:r>
        <w:t>Klimagassutslippet er redusert med 10% i 202</w:t>
      </w:r>
      <w:r w:rsidR="7CC23EAC">
        <w:t>4</w:t>
      </w:r>
    </w:p>
    <w:p w14:paraId="29BAE023" w14:textId="019E6B4E" w:rsidR="45494C76" w:rsidRDefault="45494C76" w:rsidP="769CB75A">
      <w:pPr>
        <w:pStyle w:val="Listeavsnitt"/>
        <w:numPr>
          <w:ilvl w:val="0"/>
          <w:numId w:val="2"/>
        </w:numPr>
      </w:pPr>
      <w:r>
        <w:t>Energiforbruket er marginalt redusert</w:t>
      </w:r>
    </w:p>
    <w:p w14:paraId="276CC7A4" w14:textId="2BD27546" w:rsidR="45494C76" w:rsidRDefault="45494C76" w:rsidP="769CB75A">
      <w:pPr>
        <w:pStyle w:val="Listeavsnitt"/>
        <w:numPr>
          <w:ilvl w:val="0"/>
          <w:numId w:val="2"/>
        </w:numPr>
      </w:pPr>
      <w:r>
        <w:t>Sorteringsgraden av avfall økt</w:t>
      </w:r>
      <w:r w:rsidR="1C13E925">
        <w:t>e</w:t>
      </w:r>
      <w:r>
        <w:t xml:space="preserve"> med 9% i 202</w:t>
      </w:r>
      <w:r w:rsidR="357DDD8D">
        <w:t>4</w:t>
      </w:r>
    </w:p>
    <w:p w14:paraId="061C2364" w14:textId="6600E3D2" w:rsidR="0BB6BA7B" w:rsidRDefault="0BB6BA7B" w:rsidP="769CB75A">
      <w:pPr>
        <w:pStyle w:val="Listeavsnitt"/>
        <w:numPr>
          <w:ilvl w:val="0"/>
          <w:numId w:val="2"/>
        </w:numPr>
      </w:pPr>
      <w:r>
        <w:t>Avfallsmengden totalt sett har økt marginalt, men må ses mot økt aktivitet</w:t>
      </w:r>
    </w:p>
    <w:p w14:paraId="0D5AB9D0" w14:textId="5DC7764B" w:rsidR="45494C76" w:rsidRDefault="45494C76" w:rsidP="769CB75A">
      <w:pPr>
        <w:pStyle w:val="Listeavsnitt"/>
        <w:numPr>
          <w:ilvl w:val="0"/>
          <w:numId w:val="2"/>
        </w:numPr>
      </w:pPr>
      <w:r>
        <w:t>Antall flyreiser er redusert</w:t>
      </w:r>
      <w:r w:rsidR="719FC795">
        <w:t xml:space="preserve"> </w:t>
      </w:r>
    </w:p>
    <w:p w14:paraId="5496CDCF" w14:textId="271CC2B1" w:rsidR="35B2CADC" w:rsidRDefault="35B2CADC" w:rsidP="769CB75A">
      <w:pPr>
        <w:pStyle w:val="Listeavsnitt"/>
        <w:numPr>
          <w:ilvl w:val="0"/>
          <w:numId w:val="2"/>
        </w:numPr>
      </w:pPr>
      <w:r>
        <w:t xml:space="preserve">Sykefraværet er stabilt og </w:t>
      </w:r>
      <w:r w:rsidR="6998A749">
        <w:t xml:space="preserve">var på </w:t>
      </w:r>
      <w:r>
        <w:t xml:space="preserve">5% </w:t>
      </w:r>
      <w:r w:rsidR="2FEB6D8F">
        <w:t>i 2024</w:t>
      </w:r>
    </w:p>
    <w:p w14:paraId="0C8505BD" w14:textId="7F046580" w:rsidR="660F4BB7" w:rsidRDefault="660F4BB7" w:rsidP="769CB75A">
      <w:r w:rsidRPr="769CB75A">
        <w:t xml:space="preserve">Sertifiseringen som miljøfyrtårn innebærer at resultatene fra rapporteringen skal publiseres på virksomhetens nettsider. </w:t>
      </w:r>
    </w:p>
    <w:p w14:paraId="36F9EDF8" w14:textId="43A70499" w:rsidR="769CB75A" w:rsidRDefault="769CB75A">
      <w:r>
        <w:br w:type="page"/>
      </w:r>
    </w:p>
    <w:p w14:paraId="1D36BB6E" w14:textId="34FE1B01" w:rsidR="4C8812A2" w:rsidRDefault="660F4BB7" w:rsidP="4F444CAE">
      <w:r w:rsidRPr="4F444CAE">
        <w:lastRenderedPageBreak/>
        <w:t>Videre er det krav om at virksomhetens målsetninger og resultater i forhold til klima, milj</w:t>
      </w:r>
      <w:r w:rsidR="4C8812A2" w:rsidRPr="4F444CAE">
        <w:t xml:space="preserve">ø og arbeidsmiljø skal publiseres. Styret skal orienteres </w:t>
      </w:r>
      <w:r w:rsidR="26F50789" w:rsidRPr="4F444CAE">
        <w:t xml:space="preserve">minst en gang pr år. </w:t>
      </w:r>
    </w:p>
    <w:p w14:paraId="50EF2D33" w14:textId="2987567F" w:rsidR="4C8812A2" w:rsidRDefault="4C8812A2" w:rsidP="4F444CAE">
      <w:r w:rsidRPr="4F444CAE">
        <w:t xml:space="preserve">Måltabell som er utarbeidet: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3"/>
        <w:gridCol w:w="1515"/>
        <w:gridCol w:w="4957"/>
        <w:gridCol w:w="2122"/>
      </w:tblGrid>
      <w:tr w:rsidR="769CB75A" w14:paraId="5A92D598" w14:textId="77777777" w:rsidTr="769CB75A">
        <w:trPr>
          <w:trHeight w:val="3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80D5AEB" w14:textId="5B78D114" w:rsidR="769CB75A" w:rsidRDefault="769CB75A" w:rsidP="769CB7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4FE4631A" w14:textId="52E720B2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Område</w:t>
            </w:r>
          </w:p>
        </w:tc>
        <w:tc>
          <w:tcPr>
            <w:tcW w:w="4957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3E8E7B15" w14:textId="0409F0A5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Tiltak</w:t>
            </w:r>
          </w:p>
        </w:tc>
        <w:tc>
          <w:tcPr>
            <w:tcW w:w="212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B3FECBF" w14:textId="6291C5F6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Ansvarlig</w:t>
            </w:r>
          </w:p>
        </w:tc>
      </w:tr>
      <w:tr w:rsidR="769CB75A" w14:paraId="55892FF7" w14:textId="77777777" w:rsidTr="769CB75A">
        <w:trPr>
          <w:trHeight w:val="300"/>
        </w:trPr>
        <w:tc>
          <w:tcPr>
            <w:tcW w:w="563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E8AD8AA" w14:textId="7EEB1573" w:rsidR="769CB75A" w:rsidRDefault="769CB75A" w:rsidP="769CB7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15" w:type="dxa"/>
            <w:tcMar>
              <w:left w:w="90" w:type="dxa"/>
              <w:right w:w="90" w:type="dxa"/>
            </w:tcMar>
          </w:tcPr>
          <w:p w14:paraId="4F74DF51" w14:textId="67C5D3BA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Transport</w:t>
            </w:r>
          </w:p>
        </w:tc>
        <w:tc>
          <w:tcPr>
            <w:tcW w:w="4957" w:type="dxa"/>
            <w:tcMar>
              <w:left w:w="90" w:type="dxa"/>
              <w:right w:w="90" w:type="dxa"/>
            </w:tcMar>
          </w:tcPr>
          <w:p w14:paraId="25DCB755" w14:textId="3F1E944F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Klubben skal fase ut biler med fossilt drivstoff og gå over til el-biler. </w:t>
            </w:r>
            <w:r w:rsidR="755D4244"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Ladestasjoner for el-biler skal etableres. </w:t>
            </w:r>
          </w:p>
          <w:p w14:paraId="08BDB701" w14:textId="27F6FAF3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2" w:type="dxa"/>
            <w:tcMar>
              <w:left w:w="90" w:type="dxa"/>
              <w:right w:w="90" w:type="dxa"/>
            </w:tcMar>
          </w:tcPr>
          <w:p w14:paraId="0D3C8158" w14:textId="4BD60CA4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Martin Fauskanger</w:t>
            </w:r>
          </w:p>
          <w:p w14:paraId="13D96CCC" w14:textId="31FCB11C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69CB75A" w14:paraId="17CBF332" w14:textId="77777777" w:rsidTr="769CB75A">
        <w:trPr>
          <w:trHeight w:val="300"/>
        </w:trPr>
        <w:tc>
          <w:tcPr>
            <w:tcW w:w="563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0D467F1" w14:textId="2D833CFF" w:rsidR="769CB75A" w:rsidRDefault="769CB75A" w:rsidP="769CB7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15" w:type="dxa"/>
            <w:tcMar>
              <w:left w:w="90" w:type="dxa"/>
              <w:right w:w="90" w:type="dxa"/>
            </w:tcMar>
          </w:tcPr>
          <w:p w14:paraId="6925C555" w14:textId="39112EF3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Klimaregnskap</w:t>
            </w:r>
          </w:p>
        </w:tc>
        <w:tc>
          <w:tcPr>
            <w:tcW w:w="4957" w:type="dxa"/>
            <w:tcMar>
              <w:left w:w="90" w:type="dxa"/>
              <w:right w:w="90" w:type="dxa"/>
            </w:tcMar>
          </w:tcPr>
          <w:p w14:paraId="5C771471" w14:textId="34066644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Klubben skal årlig utarbeide et klimaregnskap. Målsetningen skal være å årlig redusere klubbens klimaavtrykk, og holde dette på samme nivå som snittet av sammenlignbare Eliteserieklubber i Norge. </w:t>
            </w:r>
          </w:p>
          <w:p w14:paraId="173708B5" w14:textId="78D98835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2" w:type="dxa"/>
            <w:tcMar>
              <w:left w:w="90" w:type="dxa"/>
              <w:right w:w="90" w:type="dxa"/>
            </w:tcMar>
          </w:tcPr>
          <w:p w14:paraId="7796FA4D" w14:textId="063551C2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Leif Birkeland</w:t>
            </w:r>
          </w:p>
        </w:tc>
      </w:tr>
      <w:tr w:rsidR="769CB75A" w14:paraId="305B9AE4" w14:textId="77777777" w:rsidTr="769CB75A">
        <w:trPr>
          <w:trHeight w:val="300"/>
        </w:trPr>
        <w:tc>
          <w:tcPr>
            <w:tcW w:w="563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1F2CA119" w14:textId="65186A6A" w:rsidR="769CB75A" w:rsidRDefault="769CB75A" w:rsidP="769CB7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15" w:type="dxa"/>
            <w:tcMar>
              <w:left w:w="90" w:type="dxa"/>
              <w:right w:w="90" w:type="dxa"/>
            </w:tcMar>
          </w:tcPr>
          <w:p w14:paraId="1CDD1F9A" w14:textId="4798F934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Sorteringsgrad</w:t>
            </w:r>
          </w:p>
        </w:tc>
        <w:tc>
          <w:tcPr>
            <w:tcW w:w="4957" w:type="dxa"/>
            <w:tcMar>
              <w:left w:w="90" w:type="dxa"/>
              <w:right w:w="90" w:type="dxa"/>
            </w:tcMar>
          </w:tcPr>
          <w:p w14:paraId="22FE272A" w14:textId="5F24A367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Sorteringsgraden skal økes årlig. Første delmål settes til 30% innen 31.12. 2023. Deretter skal den økes med 10% årlig. </w:t>
            </w:r>
          </w:p>
          <w:p w14:paraId="32388870" w14:textId="770B4784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2" w:type="dxa"/>
            <w:tcMar>
              <w:left w:w="90" w:type="dxa"/>
              <w:right w:w="90" w:type="dxa"/>
            </w:tcMar>
          </w:tcPr>
          <w:p w14:paraId="12B5B94F" w14:textId="4200DF22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Halvor Eilerås</w:t>
            </w:r>
          </w:p>
        </w:tc>
      </w:tr>
      <w:tr w:rsidR="769CB75A" w14:paraId="5610A4E3" w14:textId="77777777" w:rsidTr="769CB75A">
        <w:trPr>
          <w:trHeight w:val="300"/>
        </w:trPr>
        <w:tc>
          <w:tcPr>
            <w:tcW w:w="563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F763A9C" w14:textId="5C4CD806" w:rsidR="769CB75A" w:rsidRDefault="769CB75A" w:rsidP="769CB7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15" w:type="dxa"/>
            <w:tcMar>
              <w:left w:w="90" w:type="dxa"/>
              <w:right w:w="90" w:type="dxa"/>
            </w:tcMar>
          </w:tcPr>
          <w:p w14:paraId="428F721D" w14:textId="6C0C287C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Sykefravær</w:t>
            </w:r>
          </w:p>
        </w:tc>
        <w:tc>
          <w:tcPr>
            <w:tcW w:w="4957" w:type="dxa"/>
            <w:tcMar>
              <w:left w:w="90" w:type="dxa"/>
              <w:right w:w="90" w:type="dxa"/>
            </w:tcMar>
          </w:tcPr>
          <w:p w14:paraId="4AD37973" w14:textId="1B9CBD0F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Aktiv ivaretakelse av arbeidsgivers ansvar gjennom godt nærværsarbeid, vernerunder m.m. Måltallet settes til 5%. </w:t>
            </w:r>
          </w:p>
          <w:p w14:paraId="3962525B" w14:textId="61D1F5C2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2" w:type="dxa"/>
            <w:tcMar>
              <w:left w:w="90" w:type="dxa"/>
              <w:right w:w="90" w:type="dxa"/>
            </w:tcMar>
          </w:tcPr>
          <w:p w14:paraId="7A69A4C2" w14:textId="79E8CD18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Martin Fauskanger</w:t>
            </w:r>
          </w:p>
        </w:tc>
      </w:tr>
      <w:tr w:rsidR="769CB75A" w14:paraId="2FDDED93" w14:textId="77777777" w:rsidTr="769CB75A">
        <w:trPr>
          <w:trHeight w:val="300"/>
        </w:trPr>
        <w:tc>
          <w:tcPr>
            <w:tcW w:w="563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6861B4A" w14:textId="2FED3EDE" w:rsidR="769CB75A" w:rsidRDefault="769CB75A" w:rsidP="769CB75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1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EE5A3B4" w14:textId="3EF66209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Energibruk</w:t>
            </w:r>
          </w:p>
          <w:p w14:paraId="3EE47B8D" w14:textId="1ED07F03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BC93CC5" w14:textId="53F6FC22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739C75" w14:textId="50F00446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957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F53A2F2" w14:textId="03510C55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Klubben skal opprettholde gode rutiner knyttet til energibruk, og fortrinnsvis redusere det årlige forbruket. Det jobbes med tiltak som LED-belysning på stadion og solceller på taket av tribuner. Dette vil kunne gi stor effekt, men tidshorisonten er usikker. </w:t>
            </w:r>
          </w:p>
          <w:p w14:paraId="3591923B" w14:textId="66277A32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D1C441F" w14:textId="7D617EA3" w:rsidR="769CB75A" w:rsidRDefault="769CB75A" w:rsidP="769CB75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9CB75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Halvor Eilerås og Martin Fauskanger</w:t>
            </w:r>
          </w:p>
        </w:tc>
      </w:tr>
    </w:tbl>
    <w:p w14:paraId="3233B9C7" w14:textId="3EFE992A" w:rsidR="769CB75A" w:rsidRDefault="769CB75A" w:rsidP="769CB75A"/>
    <w:p w14:paraId="09236162" w14:textId="67A40C3F" w:rsidR="72325D04" w:rsidRDefault="72325D04" w:rsidP="769CB75A">
      <w:r w:rsidRPr="769CB75A">
        <w:t>Måltabellen evalueres årlig. Status ved utgangen av 2024 er følgende:</w:t>
      </w:r>
    </w:p>
    <w:p w14:paraId="60CD6DC1" w14:textId="11C80772" w:rsidR="4DC841D8" w:rsidRDefault="4DC841D8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t>1</w:t>
      </w:r>
      <w:r>
        <w:tab/>
      </w:r>
      <w:r w:rsidR="0DD2C297" w:rsidRPr="769CB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Transport</w:t>
      </w:r>
    </w:p>
    <w:p w14:paraId="5A37E5DF" w14:textId="10D26233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Det ventes fortsatt på leveranse av to el-biler fra Møller. Montering av ladestasjoner er ferdigstilt og de er tatt i bruk. Mål/tiltak opprettholdes inntil videre. </w:t>
      </w:r>
    </w:p>
    <w:p w14:paraId="2EA18F6B" w14:textId="494370DE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>
        <w:tab/>
      </w:r>
      <w:r w:rsidRPr="769CB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Klimaregnskap</w:t>
      </w:r>
    </w:p>
    <w:p w14:paraId="43EFDB40" w14:textId="4F48FD3A" w:rsidR="0DD2C297" w:rsidRDefault="0DD2C297" w:rsidP="4F444CA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Klimaavtrykket er redusert fra 2023 til 2024. Dette på tross av økt aktivitet knyttet til innføring av damelag og flere ansatte. Det utarbeides fortsatt eget </w:t>
      </w:r>
      <w:proofErr w:type="spellStart"/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>klimaregnskapi</w:t>
      </w:r>
      <w:proofErr w:type="spellEnd"/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regi av KAPO. Klubben har lavere avtrykk enn snittet av klubbene i Eliteserien. Det meste av klimaavtrykket kommer fra transport/flyreiser. Vanskelig å redusere dette i et toppidrettsperspektiv. Men klubben gikk </w:t>
      </w: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eksempelvis fra to til en treningsleir i Spania før sesongstart 2025. Klubben kompenserer fortsatt for eget klimaavtrykk i </w:t>
      </w:r>
      <w:proofErr w:type="spellStart"/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>scope</w:t>
      </w:r>
      <w:proofErr w:type="spellEnd"/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 og 2 via kjøp av klimakreditter. </w:t>
      </w:r>
    </w:p>
    <w:p w14:paraId="610ACC1D" w14:textId="48704E90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>
        <w:tab/>
      </w:r>
      <w:r w:rsidRPr="769CB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Sorteringsgrad </w:t>
      </w:r>
    </w:p>
    <w:p w14:paraId="0B76447F" w14:textId="453E51E2" w:rsidR="0DD2C297" w:rsidRDefault="0DD2C297" w:rsidP="4F444CA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Total menge avfall gikk </w:t>
      </w:r>
      <w:r w:rsidR="3D4B5FD3"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marginalt opp fra 2023 </w:t>
      </w: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>til 2024. Dette</w:t>
      </w:r>
      <w:r w:rsidR="3D2523E6"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kan ha sammenheng med </w:t>
      </w: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økt aktivitet på stadion. Sorteringsgraden økte </w:t>
      </w:r>
      <w:r w:rsidR="441E1DF5"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imidlertid </w:t>
      </w: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med 9%, noe som er marginalt under måltallet på 10%. Rutiner for sortering er strammet inn, det er noen indikasjoner på at renhold ikke har fulgt rutiner ut fra bygg til rett container. Dette er nå gjennomgått med </w:t>
      </w:r>
      <w:proofErr w:type="spellStart"/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>renholdsfirma</w:t>
      </w:r>
      <w:proofErr w:type="spellEnd"/>
      <w:r w:rsidR="7431312D"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og </w:t>
      </w:r>
      <w:proofErr w:type="spellStart"/>
      <w:r w:rsidR="7431312D" w:rsidRPr="4F444CAE">
        <w:rPr>
          <w:rFonts w:ascii="Calibri" w:eastAsia="Calibri" w:hAnsi="Calibri" w:cs="Calibri"/>
          <w:color w:val="000000" w:themeColor="text1"/>
          <w:sz w:val="22"/>
          <w:szCs w:val="22"/>
        </w:rPr>
        <w:t>vi</w:t>
      </w:r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>il</w:t>
      </w:r>
      <w:proofErr w:type="spellEnd"/>
      <w:r w:rsidRPr="4F444CA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trolig bedre sorteringsgraden i det videre. </w:t>
      </w:r>
    </w:p>
    <w:p w14:paraId="0EB4D544" w14:textId="7790013D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>
        <w:tab/>
      </w:r>
      <w:r w:rsidRPr="769CB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Sykefravær</w:t>
      </w:r>
    </w:p>
    <w:p w14:paraId="2385CFFE" w14:textId="6C67246E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Sykefraværet har økt fra 4,2% til 5%, noe som er identisk med måltallet. Vurderes å være på et akseptabelt nivå. </w:t>
      </w:r>
    </w:p>
    <w:p w14:paraId="275AEDC4" w14:textId="14717193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>
        <w:tab/>
      </w:r>
      <w:r w:rsidRPr="769CB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Energibruk</w:t>
      </w:r>
    </w:p>
    <w:p w14:paraId="40DC044D" w14:textId="4FE32EB3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Int_JFSfvoF8"/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Energiforbruk pr kvadratmeter er i tråd med målsetningen ytterligere redusert fra året før. Dette på tross av økt aktivitet i lokalene. Det jobbes videre med overgang til led. Solceller på tribunetak og led-belysning av </w:t>
      </w:r>
      <w:proofErr w:type="spellStart"/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>stadionmatten</w:t>
      </w:r>
      <w:proofErr w:type="spellEnd"/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er under utredning. Investeringskostnaden er en utfordring. </w:t>
      </w:r>
      <w:bookmarkEnd w:id="0"/>
    </w:p>
    <w:p w14:paraId="69D76570" w14:textId="09964239" w:rsidR="769CB75A" w:rsidRDefault="769CB75A" w:rsidP="769CB75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BBB39FA" w14:textId="68FAAC80" w:rsidR="0DD2C297" w:rsidRDefault="0DD2C297" w:rsidP="769CB75A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Evaluering rutine måltabell pr april 2025:</w:t>
      </w:r>
    </w:p>
    <w:p w14:paraId="41E110F1" w14:textId="5A1AFC87" w:rsidR="0DD2C297" w:rsidRDefault="0DD2C297" w:rsidP="769CB75A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Målsetningene opprettholdes inntil videre. Flere av målene er «løpende» og tar opp i seg ønsket utvikling. Ustabil drift både sportslig og økonomisk tilsier at overordnet målsetning det neste året vil være stabilisering av driften. </w:t>
      </w:r>
    </w:p>
    <w:p w14:paraId="7B5CD358" w14:textId="3FA40137" w:rsidR="769CB75A" w:rsidRPr="009C4957" w:rsidRDefault="0DD2C297" w:rsidP="769CB75A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evaluering av måloppnåelse vises det i utgangspunktet til </w:t>
      </w:r>
      <w:proofErr w:type="spellStart"/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>pkt</w:t>
      </w:r>
      <w:proofErr w:type="spellEnd"/>
      <w:r w:rsidRPr="769CB7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1-5 over. </w:t>
      </w:r>
    </w:p>
    <w:sectPr w:rsidR="769CB75A" w:rsidRPr="009C495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AE4A" w14:textId="77777777" w:rsidR="00D7258E" w:rsidRDefault="00D7258E">
      <w:pPr>
        <w:spacing w:after="0" w:line="240" w:lineRule="auto"/>
      </w:pPr>
      <w:r>
        <w:separator/>
      </w:r>
    </w:p>
  </w:endnote>
  <w:endnote w:type="continuationSeparator" w:id="0">
    <w:p w14:paraId="2621DC72" w14:textId="77777777" w:rsidR="00D7258E" w:rsidRDefault="00D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9CB75A" w14:paraId="3BF70947" w14:textId="77777777" w:rsidTr="769CB75A">
      <w:trPr>
        <w:trHeight w:val="300"/>
      </w:trPr>
      <w:tc>
        <w:tcPr>
          <w:tcW w:w="3005" w:type="dxa"/>
        </w:tcPr>
        <w:p w14:paraId="0376052E" w14:textId="2921FB23" w:rsidR="769CB75A" w:rsidRDefault="769CB75A" w:rsidP="769CB75A">
          <w:pPr>
            <w:pStyle w:val="Topptekst"/>
            <w:ind w:left="-115"/>
          </w:pPr>
        </w:p>
      </w:tc>
      <w:tc>
        <w:tcPr>
          <w:tcW w:w="3005" w:type="dxa"/>
        </w:tcPr>
        <w:p w14:paraId="33F54B14" w14:textId="343FB92F" w:rsidR="769CB75A" w:rsidRDefault="769CB75A" w:rsidP="769CB75A">
          <w:pPr>
            <w:pStyle w:val="Topptekst"/>
            <w:jc w:val="center"/>
          </w:pPr>
        </w:p>
      </w:tc>
      <w:tc>
        <w:tcPr>
          <w:tcW w:w="3005" w:type="dxa"/>
        </w:tcPr>
        <w:p w14:paraId="0FADCA73" w14:textId="2837EF4B" w:rsidR="769CB75A" w:rsidRDefault="769CB75A" w:rsidP="769CB75A">
          <w:pPr>
            <w:pStyle w:val="Topptekst"/>
            <w:ind w:right="-115"/>
            <w:jc w:val="right"/>
          </w:pPr>
        </w:p>
      </w:tc>
    </w:tr>
  </w:tbl>
  <w:p w14:paraId="41F273E5" w14:textId="42D56831" w:rsidR="769CB75A" w:rsidRDefault="769CB75A" w:rsidP="769CB7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18CB1" w14:textId="77777777" w:rsidR="00D7258E" w:rsidRDefault="00D7258E">
      <w:pPr>
        <w:spacing w:after="0" w:line="240" w:lineRule="auto"/>
      </w:pPr>
      <w:r>
        <w:separator/>
      </w:r>
    </w:p>
  </w:footnote>
  <w:footnote w:type="continuationSeparator" w:id="0">
    <w:p w14:paraId="525233AD" w14:textId="77777777" w:rsidR="00D7258E" w:rsidRDefault="00D7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9CB75A" w14:paraId="2A700B37" w14:textId="77777777" w:rsidTr="769CB75A">
      <w:trPr>
        <w:trHeight w:val="300"/>
      </w:trPr>
      <w:tc>
        <w:tcPr>
          <w:tcW w:w="3005" w:type="dxa"/>
        </w:tcPr>
        <w:p w14:paraId="4D588085" w14:textId="4D71B355" w:rsidR="769CB75A" w:rsidRDefault="769CB75A" w:rsidP="769CB75A">
          <w:pPr>
            <w:pStyle w:val="Topptekst"/>
            <w:ind w:left="-115"/>
          </w:pPr>
        </w:p>
      </w:tc>
      <w:tc>
        <w:tcPr>
          <w:tcW w:w="3005" w:type="dxa"/>
        </w:tcPr>
        <w:p w14:paraId="6352867F" w14:textId="3DED42A0" w:rsidR="769CB75A" w:rsidRDefault="769CB75A" w:rsidP="769CB75A">
          <w:pPr>
            <w:pStyle w:val="Topptekst"/>
            <w:jc w:val="center"/>
          </w:pPr>
        </w:p>
      </w:tc>
      <w:tc>
        <w:tcPr>
          <w:tcW w:w="3005" w:type="dxa"/>
        </w:tcPr>
        <w:p w14:paraId="33AE18E8" w14:textId="52A65B86" w:rsidR="769CB75A" w:rsidRDefault="769CB75A" w:rsidP="769CB75A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059B00E" wp14:editId="74BE5FE7">
                <wp:extent cx="1257300" cy="742950"/>
                <wp:effectExtent l="0" t="0" r="0" b="0"/>
                <wp:docPr id="1144509380" name="Bilde 1144509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332D329A" w14:textId="36B7A2D0" w:rsidR="769CB75A" w:rsidRDefault="769CB75A" w:rsidP="769CB75A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FSfvoF8" int2:invalidationBookmarkName="" int2:hashCode="Iai5H9xMJQF/vP" int2:id="QSkRRAh6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2EBCB0"/>
    <w:multiLevelType w:val="hybridMultilevel"/>
    <w:tmpl w:val="95C2A4A2"/>
    <w:lvl w:ilvl="0" w:tplc="50C89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EA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1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0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AD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C7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2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03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C8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AB61F"/>
    <w:multiLevelType w:val="hybridMultilevel"/>
    <w:tmpl w:val="0366A656"/>
    <w:lvl w:ilvl="0" w:tplc="B6FA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6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07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C0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8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C6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24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4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0F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18703">
    <w:abstractNumId w:val="1"/>
  </w:num>
  <w:num w:numId="2" w16cid:durableId="2813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E0735"/>
    <w:rsid w:val="000C0E7B"/>
    <w:rsid w:val="00141B33"/>
    <w:rsid w:val="009C4957"/>
    <w:rsid w:val="00D7258E"/>
    <w:rsid w:val="013DBF4F"/>
    <w:rsid w:val="01A8A21E"/>
    <w:rsid w:val="04F8CD5A"/>
    <w:rsid w:val="095DB713"/>
    <w:rsid w:val="0BB6BA7B"/>
    <w:rsid w:val="0DD2C297"/>
    <w:rsid w:val="0F4CB8F1"/>
    <w:rsid w:val="127B927E"/>
    <w:rsid w:val="14C1148F"/>
    <w:rsid w:val="15367DE9"/>
    <w:rsid w:val="1615EB53"/>
    <w:rsid w:val="1764A600"/>
    <w:rsid w:val="178862C0"/>
    <w:rsid w:val="17B2E7FF"/>
    <w:rsid w:val="17EA56B6"/>
    <w:rsid w:val="18292CD7"/>
    <w:rsid w:val="187C069B"/>
    <w:rsid w:val="196988B7"/>
    <w:rsid w:val="1C13E925"/>
    <w:rsid w:val="1CCD250A"/>
    <w:rsid w:val="1F19E7A2"/>
    <w:rsid w:val="23EE0014"/>
    <w:rsid w:val="25D00B6E"/>
    <w:rsid w:val="26F50789"/>
    <w:rsid w:val="28E1613B"/>
    <w:rsid w:val="28EB303A"/>
    <w:rsid w:val="29C4D3E9"/>
    <w:rsid w:val="2B8416C5"/>
    <w:rsid w:val="2D1B2FFF"/>
    <w:rsid w:val="2FEB6D8F"/>
    <w:rsid w:val="3228F46C"/>
    <w:rsid w:val="32355D4F"/>
    <w:rsid w:val="32967FB2"/>
    <w:rsid w:val="33026675"/>
    <w:rsid w:val="33721E84"/>
    <w:rsid w:val="3402BDD4"/>
    <w:rsid w:val="350B16DB"/>
    <w:rsid w:val="357DDD8D"/>
    <w:rsid w:val="35B2CADC"/>
    <w:rsid w:val="369386F9"/>
    <w:rsid w:val="36C2CB66"/>
    <w:rsid w:val="37F1FC66"/>
    <w:rsid w:val="38EA4288"/>
    <w:rsid w:val="3AB77300"/>
    <w:rsid w:val="3B0D6CF3"/>
    <w:rsid w:val="3D2523E6"/>
    <w:rsid w:val="3D2EBCAC"/>
    <w:rsid w:val="3D4B5FD3"/>
    <w:rsid w:val="3D9BE7B0"/>
    <w:rsid w:val="403B52B9"/>
    <w:rsid w:val="425E2D55"/>
    <w:rsid w:val="43662269"/>
    <w:rsid w:val="441E1DF5"/>
    <w:rsid w:val="45113AAD"/>
    <w:rsid w:val="45494C76"/>
    <w:rsid w:val="457F828C"/>
    <w:rsid w:val="45B5E85A"/>
    <w:rsid w:val="48169D36"/>
    <w:rsid w:val="48402569"/>
    <w:rsid w:val="4846D837"/>
    <w:rsid w:val="4C8812A2"/>
    <w:rsid w:val="4CBD15EB"/>
    <w:rsid w:val="4DC841D8"/>
    <w:rsid w:val="4DE5D745"/>
    <w:rsid w:val="4F444CAE"/>
    <w:rsid w:val="4F8892D2"/>
    <w:rsid w:val="50FC0F96"/>
    <w:rsid w:val="51A4EC34"/>
    <w:rsid w:val="527499E5"/>
    <w:rsid w:val="5430B3B9"/>
    <w:rsid w:val="54568EC6"/>
    <w:rsid w:val="558DF7CD"/>
    <w:rsid w:val="558FB257"/>
    <w:rsid w:val="587C2C52"/>
    <w:rsid w:val="5AF02ABE"/>
    <w:rsid w:val="5BAA6B06"/>
    <w:rsid w:val="5EFE853E"/>
    <w:rsid w:val="6067AFB4"/>
    <w:rsid w:val="611E75EE"/>
    <w:rsid w:val="6236F46F"/>
    <w:rsid w:val="633F7535"/>
    <w:rsid w:val="660F4BB7"/>
    <w:rsid w:val="6998A749"/>
    <w:rsid w:val="69A8C86A"/>
    <w:rsid w:val="6B92949E"/>
    <w:rsid w:val="6BAE0735"/>
    <w:rsid w:val="6BE2D780"/>
    <w:rsid w:val="6DE36D70"/>
    <w:rsid w:val="6ED7403E"/>
    <w:rsid w:val="70C6394D"/>
    <w:rsid w:val="719FC795"/>
    <w:rsid w:val="720C1996"/>
    <w:rsid w:val="72325D04"/>
    <w:rsid w:val="73E5F9C3"/>
    <w:rsid w:val="7431312D"/>
    <w:rsid w:val="745A760C"/>
    <w:rsid w:val="755D4244"/>
    <w:rsid w:val="769CB75A"/>
    <w:rsid w:val="7880A9B5"/>
    <w:rsid w:val="7954C273"/>
    <w:rsid w:val="7983A474"/>
    <w:rsid w:val="79D04FE4"/>
    <w:rsid w:val="7B02D15A"/>
    <w:rsid w:val="7B0F1306"/>
    <w:rsid w:val="7BE4E37C"/>
    <w:rsid w:val="7BF121F4"/>
    <w:rsid w:val="7CC23EAC"/>
    <w:rsid w:val="7DBABCC3"/>
    <w:rsid w:val="7FB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9EE"/>
  <w15:chartTrackingRefBased/>
  <w15:docId w15:val="{56389D59-1188-4241-A0D6-CE2D0194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769CB75A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rsid w:val="769CB75A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uiPriority w:val="99"/>
    <w:unhideWhenUsed/>
    <w:rsid w:val="769CB75A"/>
    <w:pPr>
      <w:tabs>
        <w:tab w:val="center" w:pos="4680"/>
        <w:tab w:val="right" w:pos="9360"/>
      </w:tabs>
      <w:spacing w:after="0" w:line="240" w:lineRule="auto"/>
    </w:pPr>
  </w:style>
  <w:style w:type="paragraph" w:styleId="Bunntekst">
    <w:name w:val="footer"/>
    <w:basedOn w:val="Normal"/>
    <w:uiPriority w:val="99"/>
    <w:unhideWhenUsed/>
    <w:rsid w:val="769CB75A"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769CB75A"/>
    <w:rPr>
      <w:color w:val="467886"/>
      <w:u w:val="single"/>
    </w:rPr>
  </w:style>
  <w:style w:type="paragraph" w:styleId="Listeavsnitt">
    <w:name w:val="List Paragraph"/>
    <w:basedOn w:val="Normal"/>
    <w:uiPriority w:val="34"/>
    <w:qFormat/>
    <w:rsid w:val="769CB75A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portering.miljofyrtarn.no/stats/179776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kapo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Birkeland</dc:creator>
  <cp:keywords/>
  <dc:description/>
  <cp:lastModifiedBy>Runar Nordvik</cp:lastModifiedBy>
  <cp:revision>2</cp:revision>
  <dcterms:created xsi:type="dcterms:W3CDTF">2025-04-24T07:01:00Z</dcterms:created>
  <dcterms:modified xsi:type="dcterms:W3CDTF">2025-04-24T07:01:00Z</dcterms:modified>
</cp:coreProperties>
</file>